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1E" w:rsidRPr="000508DA" w:rsidRDefault="0041131E">
      <w:pPr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 xml:space="preserve">T.C. </w:t>
      </w:r>
      <w:r w:rsidR="000508DA">
        <w:rPr>
          <w:rFonts w:ascii="Tahoma" w:hAnsi="Tahoma" w:cs="Tahoma"/>
          <w:sz w:val="24"/>
          <w:szCs w:val="24"/>
        </w:rPr>
        <w:t>Ticaret</w:t>
      </w:r>
      <w:r w:rsidRPr="000508DA">
        <w:rPr>
          <w:rFonts w:ascii="Tahoma" w:hAnsi="Tahoma" w:cs="Tahoma"/>
          <w:sz w:val="24"/>
          <w:szCs w:val="24"/>
        </w:rPr>
        <w:t xml:space="preserve"> Bakanlığı Eğitim ve Yayın Dairesi</w:t>
      </w:r>
      <w:r w:rsidR="000508DA">
        <w:rPr>
          <w:rFonts w:ascii="Tahoma" w:hAnsi="Tahoma" w:cs="Tahoma"/>
          <w:sz w:val="24"/>
          <w:szCs w:val="24"/>
        </w:rPr>
        <w:t>nce</w:t>
      </w:r>
      <w:r w:rsidRPr="000508DA">
        <w:rPr>
          <w:rFonts w:ascii="Tahoma" w:hAnsi="Tahoma" w:cs="Tahoma"/>
          <w:sz w:val="24"/>
          <w:szCs w:val="24"/>
        </w:rPr>
        <w:t xml:space="preserve"> göreve yeni başlayan AB/Gümrük ve Ticaret Uzman Yardımcılarının yetiştirilmesi amacıyla düzenlenen eğitim programı kapsamında Türkiye Milli Kooperatifler Birliği </w:t>
      </w:r>
      <w:r w:rsidR="000508DA">
        <w:rPr>
          <w:rFonts w:ascii="Tahoma" w:hAnsi="Tahoma" w:cs="Tahoma"/>
          <w:sz w:val="24"/>
          <w:szCs w:val="24"/>
        </w:rPr>
        <w:t>Genel Başkanı Muammer NİKSARLI tarafından</w:t>
      </w:r>
      <w:r w:rsidRPr="000508DA">
        <w:rPr>
          <w:rFonts w:ascii="Tahoma" w:hAnsi="Tahoma" w:cs="Tahoma"/>
          <w:sz w:val="24"/>
          <w:szCs w:val="24"/>
        </w:rPr>
        <w:t xml:space="preserve"> 10.01.2018 tarihinde bir bilgilendirme dersi verilmiştir. Kooperatiflerin Uluslararası ilişkileri, Kooperatifçilikle ilgili temel kanunlar, Kooperatifçiliğin gelişimi, sorunları, istatistiki durumu ve çözüm önerilerine değinen Niksarlı, </w:t>
      </w:r>
      <w:r w:rsidR="00540B96">
        <w:rPr>
          <w:rFonts w:ascii="Tahoma" w:hAnsi="Tahoma" w:cs="Tahoma"/>
          <w:sz w:val="24"/>
          <w:szCs w:val="24"/>
        </w:rPr>
        <w:t>bilaha</w:t>
      </w:r>
      <w:r w:rsidR="00EA7B69">
        <w:rPr>
          <w:rFonts w:ascii="Tahoma" w:hAnsi="Tahoma" w:cs="Tahoma"/>
          <w:sz w:val="24"/>
          <w:szCs w:val="24"/>
        </w:rPr>
        <w:t>re kursiyerlerin sorularını yanıtlamış ve kendilerine başarılar dilemiştir.</w:t>
      </w:r>
    </w:p>
    <w:p w:rsidR="0041131E" w:rsidRPr="000508DA" w:rsidRDefault="0041131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1131E" w:rsidRPr="000508DA" w:rsidRDefault="0041131E">
      <w:pPr>
        <w:rPr>
          <w:rFonts w:ascii="Tahoma" w:hAnsi="Tahoma" w:cs="Tahoma"/>
          <w:b/>
          <w:sz w:val="24"/>
          <w:szCs w:val="24"/>
        </w:rPr>
      </w:pPr>
      <w:r w:rsidRPr="000508DA">
        <w:rPr>
          <w:rFonts w:ascii="Tahoma" w:hAnsi="Tahoma" w:cs="Tahoma"/>
          <w:b/>
          <w:sz w:val="24"/>
          <w:szCs w:val="24"/>
        </w:rPr>
        <w:t>Eğitim veren Kurumlar</w:t>
      </w:r>
    </w:p>
    <w:p w:rsidR="0041131E" w:rsidRPr="000508DA" w:rsidRDefault="0041131E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Sanayi ve Teknoloji Bakanlığı,</w:t>
      </w:r>
    </w:p>
    <w:p w:rsidR="0041131E" w:rsidRPr="000508DA" w:rsidRDefault="0041131E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Enerji ve Tabi Kaynaklar Bakanlığı,</w:t>
      </w:r>
    </w:p>
    <w:p w:rsidR="0041131E" w:rsidRPr="000508DA" w:rsidRDefault="0041131E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Tarım ve Orman Bakanlığı,</w:t>
      </w:r>
    </w:p>
    <w:p w:rsidR="0041131E" w:rsidRPr="000508DA" w:rsidRDefault="0041131E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İçişleri Bakanlığı,</w:t>
      </w:r>
    </w:p>
    <w:p w:rsidR="0041131E" w:rsidRPr="000508DA" w:rsidRDefault="0041131E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Hazine Maliye Bakanlığı,</w:t>
      </w:r>
    </w:p>
    <w:p w:rsidR="0041131E" w:rsidRPr="000508DA" w:rsidRDefault="0041131E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Ulaştırma ve Altyapı Bakanlığı,</w:t>
      </w:r>
    </w:p>
    <w:p w:rsidR="0041131E" w:rsidRPr="000508DA" w:rsidRDefault="0041131E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Rekabet Kurumu,</w:t>
      </w:r>
    </w:p>
    <w:p w:rsidR="0041131E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Sermaye Piyasası Kurulu,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Bankacılık Düzenleme ve Denetleme Kurumu,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Kamu Gözetimi, Muhasebe ve Denetim Standartları Kurumu,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Enerji Piyasası Düzenleme Kurumu,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Küçük ve Orta Ölçekli İşletmeleri Geliştirme ve Destekleme İdaresi Başkanlığı,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 xml:space="preserve">Türkiye Esnaf ve </w:t>
      </w:r>
      <w:proofErr w:type="gramStart"/>
      <w:r w:rsidRPr="000508DA">
        <w:rPr>
          <w:rFonts w:ascii="Tahoma" w:hAnsi="Tahoma" w:cs="Tahoma"/>
          <w:sz w:val="24"/>
          <w:szCs w:val="24"/>
        </w:rPr>
        <w:t>Sanatkarlar</w:t>
      </w:r>
      <w:proofErr w:type="gramEnd"/>
      <w:r w:rsidRPr="000508DA">
        <w:rPr>
          <w:rFonts w:ascii="Tahoma" w:hAnsi="Tahoma" w:cs="Tahoma"/>
          <w:sz w:val="24"/>
          <w:szCs w:val="24"/>
        </w:rPr>
        <w:t xml:space="preserve"> Kredi ve Kefalet Kooperatifleri Birlikleri Merkez Birliği,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Türkiye Odalar ve Borsalar Birliği,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 xml:space="preserve">Türkiye Esnaf ve </w:t>
      </w:r>
      <w:proofErr w:type="gramStart"/>
      <w:r w:rsidRPr="000508DA">
        <w:rPr>
          <w:rFonts w:ascii="Tahoma" w:hAnsi="Tahoma" w:cs="Tahoma"/>
          <w:sz w:val="24"/>
          <w:szCs w:val="24"/>
        </w:rPr>
        <w:t>Sanatkarları</w:t>
      </w:r>
      <w:proofErr w:type="gramEnd"/>
      <w:r w:rsidRPr="000508DA">
        <w:rPr>
          <w:rFonts w:ascii="Tahoma" w:hAnsi="Tahoma" w:cs="Tahoma"/>
          <w:sz w:val="24"/>
          <w:szCs w:val="24"/>
        </w:rPr>
        <w:t xml:space="preserve"> Konfederasyonu,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Türkiye Milli Kooperatifler Birliği,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Dış Ekonomik İlişkiler Kurulu,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>Türkiye İhracatçılar Meclisi,</w:t>
      </w:r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0508DA">
        <w:rPr>
          <w:rFonts w:ascii="Tahoma" w:hAnsi="Tahoma" w:cs="Tahoma"/>
          <w:sz w:val="24"/>
          <w:szCs w:val="24"/>
        </w:rPr>
        <w:t>Tüketici Dernekleri Federasyonu.</w:t>
      </w:r>
      <w:proofErr w:type="gramEnd"/>
    </w:p>
    <w:p w:rsidR="00B30744" w:rsidRPr="000508DA" w:rsidRDefault="00B30744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9684E" w:rsidRPr="000508DA" w:rsidRDefault="0041131E" w:rsidP="00050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08DA">
        <w:rPr>
          <w:rFonts w:ascii="Tahoma" w:hAnsi="Tahoma" w:cs="Tahoma"/>
          <w:sz w:val="24"/>
          <w:szCs w:val="24"/>
        </w:rPr>
        <w:t xml:space="preserve">   </w:t>
      </w:r>
    </w:p>
    <w:sectPr w:rsidR="00E9684E" w:rsidRPr="000508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CA"/>
    <w:rsid w:val="000508DA"/>
    <w:rsid w:val="0041131E"/>
    <w:rsid w:val="00540B96"/>
    <w:rsid w:val="00B30744"/>
    <w:rsid w:val="00E32ECA"/>
    <w:rsid w:val="00E9684E"/>
    <w:rsid w:val="00E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F3AE-BC1F-46D8-B4B5-92A48912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(user)</dc:creator>
  <cp:keywords/>
  <dc:description/>
  <cp:lastModifiedBy>USER-PC (user)</cp:lastModifiedBy>
  <cp:revision>5</cp:revision>
  <dcterms:created xsi:type="dcterms:W3CDTF">2019-01-14T09:55:00Z</dcterms:created>
  <dcterms:modified xsi:type="dcterms:W3CDTF">2019-01-14T10:25:00Z</dcterms:modified>
</cp:coreProperties>
</file>