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DC" w:rsidRPr="00902936" w:rsidRDefault="002E0733" w:rsidP="009272DC">
      <w:pPr>
        <w:pStyle w:val="Balk1"/>
        <w:shd w:val="clear" w:color="auto" w:fill="FFFFFF"/>
        <w:jc w:val="left"/>
        <w:rPr>
          <w:rFonts w:ascii="Arial" w:hAnsi="Arial" w:cs="Arial"/>
          <w:color w:val="141414"/>
          <w:lang w:val="tr-TR"/>
        </w:rPr>
      </w:pPr>
      <w:r w:rsidRPr="00902936">
        <w:rPr>
          <w:rFonts w:ascii="Arial" w:hAnsi="Arial" w:cs="Arial"/>
          <w:b/>
          <w:bCs/>
          <w:color w:val="141414"/>
          <w:lang w:val="tr-TR"/>
        </w:rPr>
        <w:t>BM Genel Sekreterini</w:t>
      </w:r>
      <w:r w:rsidR="00DC7DBB" w:rsidRPr="00902936">
        <w:rPr>
          <w:rFonts w:ascii="Arial" w:hAnsi="Arial" w:cs="Arial"/>
          <w:b/>
          <w:bCs/>
          <w:color w:val="141414"/>
          <w:lang w:val="tr-TR"/>
        </w:rPr>
        <w:t>n</w:t>
      </w:r>
      <w:r w:rsidRPr="00902936">
        <w:rPr>
          <w:rFonts w:ascii="Arial" w:hAnsi="Arial" w:cs="Arial"/>
          <w:b/>
          <w:bCs/>
          <w:color w:val="141414"/>
          <w:lang w:val="tr-TR"/>
        </w:rPr>
        <w:t xml:space="preserve"> Raporu: </w:t>
      </w:r>
      <w:bookmarkStart w:id="0" w:name="_GoBack"/>
      <w:bookmarkEnd w:id="0"/>
      <w:r w:rsidR="00DC7DBB" w:rsidRPr="00902936">
        <w:rPr>
          <w:rFonts w:ascii="Arial" w:hAnsi="Arial" w:cs="Arial"/>
          <w:b/>
          <w:bCs/>
          <w:color w:val="141414"/>
          <w:lang w:val="tr-TR"/>
        </w:rPr>
        <w:t>“</w:t>
      </w:r>
      <w:r w:rsidRPr="00902936">
        <w:rPr>
          <w:rFonts w:ascii="Arial" w:hAnsi="Arial" w:cs="Arial"/>
          <w:b/>
          <w:bCs/>
          <w:color w:val="141414"/>
          <w:lang w:val="tr-TR"/>
        </w:rPr>
        <w:t>Kooper</w:t>
      </w:r>
      <w:r w:rsidR="00DC7DBB" w:rsidRPr="00902936">
        <w:rPr>
          <w:rFonts w:ascii="Arial" w:hAnsi="Arial" w:cs="Arial"/>
          <w:b/>
          <w:bCs/>
          <w:color w:val="141414"/>
          <w:lang w:val="tr-TR"/>
        </w:rPr>
        <w:t>a</w:t>
      </w:r>
      <w:r w:rsidRPr="00902936">
        <w:rPr>
          <w:rFonts w:ascii="Arial" w:hAnsi="Arial" w:cs="Arial"/>
          <w:b/>
          <w:bCs/>
          <w:color w:val="141414"/>
          <w:lang w:val="tr-TR"/>
        </w:rPr>
        <w:t xml:space="preserve">tif işletmeler 2030 Gündemi’ni tanıtacak özel bir </w:t>
      </w:r>
      <w:r w:rsidR="00DC7DBB" w:rsidRPr="00902936">
        <w:rPr>
          <w:rFonts w:ascii="Arial" w:hAnsi="Arial" w:cs="Arial"/>
          <w:b/>
          <w:bCs/>
          <w:color w:val="141414"/>
          <w:lang w:val="tr-TR"/>
        </w:rPr>
        <w:t>konumdadırlar”</w:t>
      </w:r>
      <w:r w:rsidRPr="00902936">
        <w:rPr>
          <w:rFonts w:ascii="Arial" w:hAnsi="Arial" w:cs="Arial"/>
          <w:b/>
          <w:bCs/>
          <w:color w:val="141414"/>
          <w:lang w:val="tr-TR"/>
        </w:rPr>
        <w:t xml:space="preserve"> </w:t>
      </w:r>
    </w:p>
    <w:p w:rsidR="009272DC" w:rsidRDefault="009272DC" w:rsidP="006D4ABE">
      <w:pPr>
        <w:spacing w:after="0" w:line="240" w:lineRule="auto"/>
        <w:rPr>
          <w:sz w:val="24"/>
          <w:szCs w:val="24"/>
        </w:rPr>
      </w:pPr>
    </w:p>
    <w:p w:rsidR="006D4ABE" w:rsidRDefault="009272DC" w:rsidP="006D4ABE">
      <w:pPr>
        <w:spacing w:after="0" w:line="240" w:lineRule="auto"/>
        <w:rPr>
          <w:sz w:val="24"/>
          <w:szCs w:val="24"/>
        </w:rPr>
      </w:pPr>
      <w:r>
        <w:rPr>
          <w:noProof/>
          <w:lang w:val="tr-TR" w:eastAsia="tr-TR"/>
        </w:rPr>
        <w:drawing>
          <wp:inline distT="0" distB="0" distL="0" distR="0">
            <wp:extent cx="5760720" cy="2952369"/>
            <wp:effectExtent l="0" t="0" r="0" b="635"/>
            <wp:docPr id="1" name="Resim 1" descr="https://ica.coop/sites/default/files/news-item-fullimage/unitednationsheadquartersinnewyorkcityviewfromrooseveltisland-1-985118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a.coop/sites/default/files/news-item-fullimage/unitednationsheadquartersinnewyorkcityviewfromrooseveltisland-1-9851185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52369"/>
                    </a:xfrm>
                    <a:prstGeom prst="rect">
                      <a:avLst/>
                    </a:prstGeom>
                    <a:noFill/>
                    <a:ln>
                      <a:noFill/>
                    </a:ln>
                  </pic:spPr>
                </pic:pic>
              </a:graphicData>
            </a:graphic>
          </wp:inline>
        </w:drawing>
      </w:r>
    </w:p>
    <w:p w:rsidR="009272DC" w:rsidRDefault="009272DC" w:rsidP="006D4ABE">
      <w:pPr>
        <w:spacing w:after="0" w:line="240" w:lineRule="auto"/>
        <w:rPr>
          <w:sz w:val="24"/>
          <w:szCs w:val="24"/>
        </w:rPr>
      </w:pPr>
    </w:p>
    <w:p w:rsidR="00902936" w:rsidRPr="00902936" w:rsidRDefault="00902936" w:rsidP="00902936">
      <w:pPr>
        <w:pStyle w:val="text-align-justify"/>
        <w:numPr>
          <w:ilvl w:val="0"/>
          <w:numId w:val="13"/>
        </w:numPr>
        <w:shd w:val="clear" w:color="auto" w:fill="FFFFFF"/>
        <w:spacing w:line="276" w:lineRule="auto"/>
        <w:rPr>
          <w:rFonts w:ascii="Arial" w:hAnsi="Arial" w:cs="Arial"/>
          <w:b/>
          <w:color w:val="141414"/>
        </w:rPr>
      </w:pPr>
      <w:r w:rsidRPr="00902936">
        <w:rPr>
          <w:rFonts w:ascii="Arial" w:hAnsi="Arial" w:cs="Arial"/>
          <w:b/>
          <w:color w:val="141414"/>
        </w:rPr>
        <w:t xml:space="preserve">Genel Kurula sunulan raporda ayrıca kooperatif yasa ve politikaları konusunda Hükümetlere şu önerilerde bulunuldu: </w:t>
      </w:r>
      <w:r w:rsidRPr="00902936">
        <w:rPr>
          <w:rFonts w:ascii="Arial" w:hAnsi="Arial" w:cs="Arial"/>
          <w:b/>
          <w:color w:val="141414"/>
        </w:rPr>
        <w:t>Hükümetler, ulusal yasal ortamı kooperatiflerin kuruluşu ve gelişmesi için daha elverişli hale getirmek amacıyla özellikle sermayeye erişim, rekabet gücünün artırılması ve adil vergilendirme için mevcut yasa ve yönetmelikleri gözden geçirmeli ve/veya yeni yasalar çıkarmalıdırlar</w:t>
      </w:r>
    </w:p>
    <w:p w:rsidR="009272DC" w:rsidRPr="002E0733" w:rsidRDefault="009272DC" w:rsidP="00902936">
      <w:pPr>
        <w:pStyle w:val="text-align-justify"/>
        <w:shd w:val="clear" w:color="auto" w:fill="FFFFFF"/>
        <w:spacing w:line="276" w:lineRule="auto"/>
        <w:rPr>
          <w:rFonts w:ascii="Arial" w:hAnsi="Arial" w:cs="Arial"/>
          <w:color w:val="141414"/>
        </w:rPr>
      </w:pPr>
      <w:r w:rsidRPr="002E0733">
        <w:rPr>
          <w:rFonts w:ascii="Arial" w:hAnsi="Arial" w:cs="Arial"/>
          <w:color w:val="141414"/>
        </w:rPr>
        <w:t xml:space="preserve">Birleşmiş Milletler Genel Sekreteri’nin 8 Aralık 2017 tarihinde Genel </w:t>
      </w:r>
      <w:r w:rsidR="002E0733">
        <w:rPr>
          <w:rFonts w:ascii="Arial" w:hAnsi="Arial" w:cs="Arial"/>
          <w:color w:val="141414"/>
        </w:rPr>
        <w:t>Kurul</w:t>
      </w:r>
      <w:r w:rsidRPr="002E0733">
        <w:rPr>
          <w:rFonts w:ascii="Arial" w:hAnsi="Arial" w:cs="Arial"/>
          <w:color w:val="141414"/>
        </w:rPr>
        <w:t xml:space="preserve">’a sunduğu rapor, </w:t>
      </w:r>
      <w:r w:rsidRPr="002E0733">
        <w:rPr>
          <w:rFonts w:ascii="Arial" w:hAnsi="Arial" w:cs="Arial"/>
          <w:b/>
          <w:color w:val="141414"/>
        </w:rPr>
        <w:t>kooperatiflerin potansiyeli</w:t>
      </w:r>
      <w:r w:rsidRPr="002E0733">
        <w:rPr>
          <w:rFonts w:ascii="Arial" w:hAnsi="Arial" w:cs="Arial"/>
          <w:color w:val="141414"/>
        </w:rPr>
        <w:t xml:space="preserve">nin altını çizdi ve Sürdürülebilir Kalkınma Hedeflerine </w:t>
      </w:r>
      <w:r w:rsidR="00880EA7">
        <w:rPr>
          <w:rFonts w:ascii="Arial" w:hAnsi="Arial" w:cs="Arial"/>
          <w:color w:val="141414"/>
        </w:rPr>
        <w:t xml:space="preserve">(SKH) </w:t>
      </w:r>
      <w:r w:rsidRPr="002E0733">
        <w:rPr>
          <w:rFonts w:ascii="Arial" w:hAnsi="Arial" w:cs="Arial"/>
          <w:color w:val="141414"/>
        </w:rPr>
        <w:t>ulaşılmasında “</w:t>
      </w:r>
      <w:r w:rsidRPr="002E0733">
        <w:rPr>
          <w:rFonts w:ascii="Arial" w:hAnsi="Arial" w:cs="Arial"/>
          <w:b/>
          <w:color w:val="141414"/>
        </w:rPr>
        <w:t>kimseyi dışlamamalıyız</w:t>
      </w:r>
      <w:r w:rsidRPr="002E0733">
        <w:rPr>
          <w:rFonts w:ascii="Arial" w:hAnsi="Arial" w:cs="Arial"/>
          <w:color w:val="141414"/>
        </w:rPr>
        <w:t xml:space="preserve">” sloganı ile önemli bir katkıda bulunabileceğini </w:t>
      </w:r>
      <w:r w:rsidR="00DC7DBB">
        <w:rPr>
          <w:rFonts w:ascii="Arial" w:hAnsi="Arial" w:cs="Arial"/>
          <w:color w:val="141414"/>
        </w:rPr>
        <w:t>belirtti</w:t>
      </w:r>
      <w:r w:rsidRPr="002E0733">
        <w:rPr>
          <w:rFonts w:ascii="Arial" w:hAnsi="Arial" w:cs="Arial"/>
          <w:color w:val="141414"/>
        </w:rPr>
        <w:t>.</w:t>
      </w:r>
      <w:r w:rsidR="002E0733" w:rsidRPr="002E0733">
        <w:rPr>
          <w:rFonts w:ascii="Arial" w:hAnsi="Arial" w:cs="Arial"/>
          <w:color w:val="141414"/>
        </w:rPr>
        <w:t xml:space="preserve"> Rapor, </w:t>
      </w:r>
      <w:r w:rsidRPr="002E0733">
        <w:rPr>
          <w:rFonts w:ascii="Arial" w:hAnsi="Arial" w:cs="Arial"/>
          <w:color w:val="141414"/>
        </w:rPr>
        <w:t xml:space="preserve">“Kooperatif işletmeler, 2030 gündemini tanıtmada çok özel bir yere sahiptirler. İşbirliği ortaklığını ve halk-odaklı ve </w:t>
      </w:r>
      <w:r w:rsidR="00DC7DBB" w:rsidRPr="002E0733">
        <w:rPr>
          <w:rFonts w:ascii="Arial" w:hAnsi="Arial" w:cs="Arial"/>
          <w:color w:val="141414"/>
        </w:rPr>
        <w:t>bütünleşmiş</w:t>
      </w:r>
      <w:r w:rsidRPr="002E0733">
        <w:rPr>
          <w:rFonts w:ascii="Arial" w:hAnsi="Arial" w:cs="Arial"/>
          <w:color w:val="141414"/>
        </w:rPr>
        <w:t xml:space="preserve"> </w:t>
      </w:r>
      <w:r w:rsidR="00DC7DBB">
        <w:rPr>
          <w:rFonts w:ascii="Arial" w:hAnsi="Arial" w:cs="Arial"/>
          <w:color w:val="141414"/>
        </w:rPr>
        <w:t xml:space="preserve">bir </w:t>
      </w:r>
      <w:r w:rsidRPr="002E0733">
        <w:rPr>
          <w:rFonts w:ascii="Arial" w:hAnsi="Arial" w:cs="Arial"/>
          <w:color w:val="141414"/>
        </w:rPr>
        <w:t xml:space="preserve">yaklaşımı esas aldığı için 17 Sürdürülebilir Kalkınma Hedefine ulaşmayı sağlayacak doğal araçlardır” </w:t>
      </w:r>
      <w:r w:rsidR="00DC7DBB">
        <w:rPr>
          <w:rFonts w:ascii="Arial" w:hAnsi="Arial" w:cs="Arial"/>
          <w:color w:val="141414"/>
        </w:rPr>
        <w:t>ifadesini kullandı</w:t>
      </w:r>
      <w:r w:rsidRPr="002E0733">
        <w:rPr>
          <w:rFonts w:ascii="Arial" w:hAnsi="Arial" w:cs="Arial"/>
          <w:color w:val="141414"/>
        </w:rPr>
        <w:t xml:space="preserve">.   </w:t>
      </w:r>
    </w:p>
    <w:p w:rsidR="009272DC" w:rsidRPr="00295340" w:rsidRDefault="002E0733" w:rsidP="00DC7DBB">
      <w:pPr>
        <w:pStyle w:val="text-align-justify"/>
        <w:shd w:val="clear" w:color="auto" w:fill="FFFFFF"/>
        <w:spacing w:line="276" w:lineRule="auto"/>
        <w:rPr>
          <w:rFonts w:ascii="Arial" w:hAnsi="Arial" w:cs="Arial"/>
          <w:color w:val="141414"/>
        </w:rPr>
      </w:pPr>
      <w:r w:rsidRPr="00295340">
        <w:rPr>
          <w:rFonts w:ascii="Arial" w:hAnsi="Arial" w:cs="Arial"/>
          <w:color w:val="141414"/>
        </w:rPr>
        <w:t>Kooperatiflerin azgelişmiş ülkelerin kalkınma sorunlarına yaklaşımları ve kooperatif işletme modelinin</w:t>
      </w:r>
      <w:r w:rsidR="00DC7DBB">
        <w:rPr>
          <w:rFonts w:ascii="Arial" w:hAnsi="Arial" w:cs="Arial"/>
          <w:color w:val="141414"/>
        </w:rPr>
        <w:t>,</w:t>
      </w:r>
      <w:r w:rsidRPr="00295340">
        <w:rPr>
          <w:rFonts w:ascii="Arial" w:hAnsi="Arial" w:cs="Arial"/>
          <w:color w:val="141414"/>
        </w:rPr>
        <w:t xml:space="preserve"> kaynak</w:t>
      </w:r>
      <w:r w:rsidR="00DC7DBB">
        <w:rPr>
          <w:rFonts w:ascii="Arial" w:hAnsi="Arial" w:cs="Arial"/>
          <w:color w:val="141414"/>
        </w:rPr>
        <w:t xml:space="preserve">ların </w:t>
      </w:r>
      <w:r w:rsidRPr="00295340">
        <w:rPr>
          <w:rFonts w:ascii="Arial" w:hAnsi="Arial" w:cs="Arial"/>
          <w:color w:val="141414"/>
        </w:rPr>
        <w:t xml:space="preserve">artırılması ve ulusal, bölgesel ve uluslararası </w:t>
      </w:r>
      <w:r w:rsidRPr="00295340">
        <w:rPr>
          <w:rFonts w:ascii="Arial" w:hAnsi="Arial" w:cs="Arial"/>
          <w:color w:val="141414"/>
        </w:rPr>
        <w:lastRenderedPageBreak/>
        <w:t>kooperatif işletmelerin 2030 S</w:t>
      </w:r>
      <w:r w:rsidR="00295340" w:rsidRPr="00295340">
        <w:rPr>
          <w:rFonts w:ascii="Arial" w:hAnsi="Arial" w:cs="Arial"/>
          <w:color w:val="141414"/>
        </w:rPr>
        <w:t xml:space="preserve">ürdürülebilir Kalkınma Gündemine katkıları derinlemesine incelenmiştir. Rapor, kooperatiflerin uzun dönemli olarak toplumlarına yatırım yapmayı hedeflediklerini ve bu yüzden topluma karşı sorumlu olduklarını, kendilerini sürdürülebilir biçimde bugünkü ve gelecek nesiller için sosyal sorumluluk taşıdıklarını kabul etmiştir.  </w:t>
      </w:r>
    </w:p>
    <w:p w:rsidR="006F5EFE" w:rsidRPr="00DC7DBB" w:rsidRDefault="007C0E39" w:rsidP="009272DC">
      <w:pPr>
        <w:pStyle w:val="NormalWeb"/>
        <w:shd w:val="clear" w:color="auto" w:fill="FFFFFF"/>
        <w:rPr>
          <w:rFonts w:ascii="Arial" w:hAnsi="Arial" w:cs="Arial"/>
          <w:b/>
          <w:bCs/>
          <w:color w:val="141414"/>
        </w:rPr>
      </w:pPr>
      <w:r w:rsidRPr="00DC7DBB">
        <w:rPr>
          <w:rFonts w:ascii="Arial" w:hAnsi="Arial" w:cs="Arial"/>
          <w:b/>
          <w:bCs/>
          <w:color w:val="141414"/>
        </w:rPr>
        <w:t>BM’nin</w:t>
      </w:r>
      <w:r w:rsidR="006F5EFE" w:rsidRPr="00DC7DBB">
        <w:rPr>
          <w:rFonts w:ascii="Arial" w:hAnsi="Arial" w:cs="Arial"/>
          <w:b/>
          <w:bCs/>
          <w:color w:val="141414"/>
        </w:rPr>
        <w:t xml:space="preserve"> kooperatifleri ve kooperatif politikalarını güçlendirme önerileri</w:t>
      </w:r>
    </w:p>
    <w:p w:rsidR="00902936" w:rsidRDefault="006F5EFE" w:rsidP="00DA0DF0">
      <w:pPr>
        <w:pStyle w:val="text-align-justify"/>
        <w:shd w:val="clear" w:color="auto" w:fill="FFFFFF"/>
        <w:spacing w:line="276" w:lineRule="auto"/>
        <w:jc w:val="both"/>
        <w:rPr>
          <w:rFonts w:ascii="Arial" w:hAnsi="Arial" w:cs="Arial"/>
          <w:color w:val="141414"/>
        </w:rPr>
      </w:pPr>
      <w:r w:rsidRPr="00DA0DF0">
        <w:rPr>
          <w:rFonts w:ascii="Arial" w:hAnsi="Arial" w:cs="Arial"/>
          <w:color w:val="141414"/>
        </w:rPr>
        <w:t xml:space="preserve">Rapor, kooperatiflerin </w:t>
      </w:r>
      <w:r w:rsidR="00880EA7" w:rsidRPr="00DA0DF0">
        <w:rPr>
          <w:rFonts w:ascii="Arial" w:hAnsi="Arial" w:cs="Arial"/>
          <w:color w:val="141414"/>
        </w:rPr>
        <w:t xml:space="preserve">herkes için </w:t>
      </w:r>
      <w:r w:rsidRPr="00DA0DF0">
        <w:rPr>
          <w:rFonts w:ascii="Arial" w:hAnsi="Arial" w:cs="Arial"/>
          <w:color w:val="141414"/>
        </w:rPr>
        <w:t>sürdürülebilir kalkınma</w:t>
      </w:r>
      <w:r w:rsidR="00880EA7" w:rsidRPr="00DA0DF0">
        <w:rPr>
          <w:rFonts w:ascii="Arial" w:hAnsi="Arial" w:cs="Arial"/>
          <w:color w:val="141414"/>
        </w:rPr>
        <w:t xml:space="preserve"> konusundaki çabalarında karşılarına çıkabilecek sorunların giderilmesi için bazı strateji ö</w:t>
      </w:r>
      <w:r w:rsidR="00902936">
        <w:rPr>
          <w:rFonts w:ascii="Arial" w:hAnsi="Arial" w:cs="Arial"/>
          <w:color w:val="141414"/>
        </w:rPr>
        <w:t>n</w:t>
      </w:r>
      <w:r w:rsidR="00880EA7" w:rsidRPr="00DA0DF0">
        <w:rPr>
          <w:rFonts w:ascii="Arial" w:hAnsi="Arial" w:cs="Arial"/>
          <w:color w:val="141414"/>
        </w:rPr>
        <w:t>erilerinde bulundu.</w:t>
      </w:r>
    </w:p>
    <w:p w:rsidR="00880EA7" w:rsidRPr="00DA0DF0" w:rsidRDefault="00880EA7" w:rsidP="00DA0DF0">
      <w:pPr>
        <w:pStyle w:val="text-align-justify"/>
        <w:shd w:val="clear" w:color="auto" w:fill="FFFFFF"/>
        <w:spacing w:line="276" w:lineRule="auto"/>
        <w:jc w:val="both"/>
        <w:rPr>
          <w:rFonts w:ascii="Arial" w:hAnsi="Arial" w:cs="Arial"/>
          <w:color w:val="141414"/>
        </w:rPr>
      </w:pPr>
      <w:r w:rsidRPr="00DA0DF0">
        <w:rPr>
          <w:rFonts w:ascii="Arial" w:hAnsi="Arial" w:cs="Arial"/>
          <w:color w:val="141414"/>
        </w:rPr>
        <w:t xml:space="preserve"> Bu öneriler şu hususları içeriyor:</w:t>
      </w:r>
    </w:p>
    <w:p w:rsidR="009272DC" w:rsidRPr="00DA0DF0" w:rsidRDefault="009272DC" w:rsidP="00DA0DF0">
      <w:pPr>
        <w:pStyle w:val="text-align-justify"/>
        <w:shd w:val="clear" w:color="auto" w:fill="FFFFFF"/>
        <w:spacing w:line="276" w:lineRule="auto"/>
        <w:jc w:val="both"/>
        <w:rPr>
          <w:rFonts w:ascii="Arial" w:hAnsi="Arial" w:cs="Arial"/>
          <w:color w:val="141414"/>
        </w:rPr>
      </w:pPr>
      <w:r w:rsidRPr="00DA0DF0">
        <w:rPr>
          <w:rFonts w:ascii="Arial" w:hAnsi="Arial" w:cs="Arial"/>
          <w:color w:val="141414"/>
        </w:rPr>
        <w:t xml:space="preserve">- </w:t>
      </w:r>
      <w:r w:rsidR="00880EA7" w:rsidRPr="00DA0DF0">
        <w:rPr>
          <w:rFonts w:ascii="Arial" w:hAnsi="Arial" w:cs="Arial"/>
          <w:color w:val="141414"/>
        </w:rPr>
        <w:t>kooperatiflerin SKH’ne ulaşılması konusunda oynayabilecekleri rol konusundaki farkındalığı güçlendirmek;</w:t>
      </w:r>
    </w:p>
    <w:p w:rsidR="00880EA7" w:rsidRPr="00DA0DF0" w:rsidRDefault="009272DC" w:rsidP="00DA0DF0">
      <w:pPr>
        <w:pStyle w:val="text-align-justify"/>
        <w:shd w:val="clear" w:color="auto" w:fill="FFFFFF"/>
        <w:spacing w:line="276" w:lineRule="auto"/>
        <w:jc w:val="both"/>
        <w:rPr>
          <w:rFonts w:ascii="Arial" w:hAnsi="Arial" w:cs="Arial"/>
          <w:color w:val="141414"/>
        </w:rPr>
      </w:pPr>
      <w:r w:rsidRPr="00DA0DF0">
        <w:rPr>
          <w:rFonts w:ascii="Arial" w:hAnsi="Arial" w:cs="Arial"/>
          <w:color w:val="141414"/>
        </w:rPr>
        <w:t xml:space="preserve">- </w:t>
      </w:r>
      <w:r w:rsidR="00880EA7" w:rsidRPr="00DA0DF0">
        <w:rPr>
          <w:rFonts w:ascii="Arial" w:hAnsi="Arial" w:cs="Arial"/>
          <w:color w:val="141414"/>
        </w:rPr>
        <w:t xml:space="preserve">özellikle SKH ile ilgili olarak kooperatiflerle ilgili gerçek verilere dayalı araştırma yapılmasının sağlanması; </w:t>
      </w:r>
    </w:p>
    <w:p w:rsidR="00880EA7" w:rsidRPr="00DA0DF0" w:rsidRDefault="009272DC" w:rsidP="00DA0DF0">
      <w:pPr>
        <w:pStyle w:val="text-align-justify"/>
        <w:shd w:val="clear" w:color="auto" w:fill="FFFFFF"/>
        <w:spacing w:line="276" w:lineRule="auto"/>
        <w:jc w:val="both"/>
        <w:rPr>
          <w:rFonts w:ascii="Arial" w:hAnsi="Arial" w:cs="Arial"/>
          <w:color w:val="141414"/>
        </w:rPr>
      </w:pPr>
      <w:r w:rsidRPr="00DA0DF0">
        <w:rPr>
          <w:rFonts w:ascii="Arial" w:hAnsi="Arial" w:cs="Arial"/>
          <w:color w:val="141414"/>
        </w:rPr>
        <w:t xml:space="preserve">- </w:t>
      </w:r>
      <w:r w:rsidR="00880EA7" w:rsidRPr="00DA0DF0">
        <w:rPr>
          <w:rFonts w:ascii="Arial" w:hAnsi="Arial" w:cs="Arial"/>
          <w:color w:val="141414"/>
        </w:rPr>
        <w:t xml:space="preserve">etkin politikalar, yasalar ve yasal düzenlemeler yapılması, ve </w:t>
      </w:r>
    </w:p>
    <w:p w:rsidR="009272DC" w:rsidRPr="00DA0DF0" w:rsidRDefault="009272DC" w:rsidP="00DA0DF0">
      <w:pPr>
        <w:pStyle w:val="text-align-justify"/>
        <w:shd w:val="clear" w:color="auto" w:fill="FFFFFF"/>
        <w:spacing w:line="276" w:lineRule="auto"/>
        <w:jc w:val="both"/>
        <w:rPr>
          <w:rFonts w:ascii="Arial" w:hAnsi="Arial" w:cs="Arial"/>
          <w:color w:val="141414"/>
        </w:rPr>
      </w:pPr>
      <w:r w:rsidRPr="00DA0DF0">
        <w:rPr>
          <w:rFonts w:ascii="Arial" w:hAnsi="Arial" w:cs="Arial"/>
          <w:color w:val="141414"/>
        </w:rPr>
        <w:t xml:space="preserve">- </w:t>
      </w:r>
      <w:r w:rsidR="00880EA7" w:rsidRPr="00DA0DF0">
        <w:rPr>
          <w:rFonts w:ascii="Arial" w:hAnsi="Arial" w:cs="Arial"/>
          <w:color w:val="141414"/>
        </w:rPr>
        <w:t>kooperatiflerin ulusal, bölgesel ve uluslararası düzeylerde yürütülen sürdür</w:t>
      </w:r>
      <w:r w:rsidR="00DA0DF0">
        <w:rPr>
          <w:rFonts w:ascii="Arial" w:hAnsi="Arial" w:cs="Arial"/>
          <w:color w:val="141414"/>
        </w:rPr>
        <w:t>ü</w:t>
      </w:r>
      <w:r w:rsidR="00880EA7" w:rsidRPr="00DA0DF0">
        <w:rPr>
          <w:rFonts w:ascii="Arial" w:hAnsi="Arial" w:cs="Arial"/>
          <w:color w:val="141414"/>
        </w:rPr>
        <w:t>lebilir kalkınma süreçlerine katılım kapasitelerini güçlendirme</w:t>
      </w:r>
      <w:r w:rsidRPr="00DA0DF0">
        <w:rPr>
          <w:rFonts w:ascii="Arial" w:hAnsi="Arial" w:cs="Arial"/>
          <w:color w:val="141414"/>
        </w:rPr>
        <w:t>.</w:t>
      </w:r>
    </w:p>
    <w:p w:rsidR="009272DC" w:rsidRPr="00902936" w:rsidRDefault="00DA0DF0" w:rsidP="00902936">
      <w:pPr>
        <w:pStyle w:val="text-align-justify"/>
        <w:shd w:val="clear" w:color="auto" w:fill="FFFFFF"/>
        <w:spacing w:line="276" w:lineRule="auto"/>
        <w:jc w:val="both"/>
        <w:rPr>
          <w:rFonts w:ascii="Arial" w:hAnsi="Arial" w:cs="Arial"/>
          <w:color w:val="141414"/>
        </w:rPr>
      </w:pPr>
      <w:r w:rsidRPr="00DC7DBB">
        <w:rPr>
          <w:rFonts w:ascii="Arial" w:hAnsi="Arial" w:cs="Arial"/>
          <w:color w:val="141414"/>
        </w:rPr>
        <w:t>Rapor, kooperatifleri güçlendirecek şu politika önerileri ile sona eriyor: Hükümetl</w:t>
      </w:r>
      <w:r w:rsidR="00DC7DBB" w:rsidRPr="00DC7DBB">
        <w:rPr>
          <w:rFonts w:ascii="Arial" w:hAnsi="Arial" w:cs="Arial"/>
          <w:color w:val="141414"/>
        </w:rPr>
        <w:t>er, ulusal yasal ortamı koopera</w:t>
      </w:r>
      <w:r w:rsidRPr="00DC7DBB">
        <w:rPr>
          <w:rFonts w:ascii="Arial" w:hAnsi="Arial" w:cs="Arial"/>
          <w:color w:val="141414"/>
        </w:rPr>
        <w:t xml:space="preserve">tiflerin </w:t>
      </w:r>
      <w:r w:rsidR="00DC7DBB" w:rsidRPr="00DC7DBB">
        <w:rPr>
          <w:rFonts w:ascii="Arial" w:hAnsi="Arial" w:cs="Arial"/>
          <w:color w:val="141414"/>
        </w:rPr>
        <w:t xml:space="preserve">kuruluşu ve </w:t>
      </w:r>
      <w:r w:rsidRPr="00DC7DBB">
        <w:rPr>
          <w:rFonts w:ascii="Arial" w:hAnsi="Arial" w:cs="Arial"/>
          <w:color w:val="141414"/>
        </w:rPr>
        <w:t xml:space="preserve">gelişmesi için daha elverişli hale getirmek amacıyla </w:t>
      </w:r>
      <w:r w:rsidR="00DC7DBB" w:rsidRPr="00DC7DBB">
        <w:rPr>
          <w:rFonts w:ascii="Arial" w:hAnsi="Arial" w:cs="Arial"/>
          <w:color w:val="141414"/>
        </w:rPr>
        <w:t xml:space="preserve">özellikle sermayeye erişim, rekabet gücünün artırılması ve adil vergilendirme için </w:t>
      </w:r>
      <w:r w:rsidRPr="00DC7DBB">
        <w:rPr>
          <w:rFonts w:ascii="Arial" w:hAnsi="Arial" w:cs="Arial"/>
          <w:color w:val="141414"/>
        </w:rPr>
        <w:t>mevcut yasa ve yönetmelikleri gözden geçirmeli</w:t>
      </w:r>
      <w:r w:rsidR="00DC7DBB" w:rsidRPr="00DC7DBB">
        <w:rPr>
          <w:rFonts w:ascii="Arial" w:hAnsi="Arial" w:cs="Arial"/>
          <w:color w:val="141414"/>
        </w:rPr>
        <w:t xml:space="preserve"> ve/veya yeni </w:t>
      </w:r>
      <w:r w:rsidR="00DC7DBB" w:rsidRPr="00902936">
        <w:rPr>
          <w:rFonts w:ascii="Arial" w:hAnsi="Arial" w:cs="Arial"/>
          <w:color w:val="141414"/>
        </w:rPr>
        <w:t xml:space="preserve">yasalar çıkarmalıdırlar. </w:t>
      </w:r>
    </w:p>
    <w:p w:rsidR="009272DC" w:rsidRPr="00902936" w:rsidRDefault="00902936" w:rsidP="00902936">
      <w:pPr>
        <w:spacing w:after="0" w:line="276" w:lineRule="auto"/>
        <w:rPr>
          <w:sz w:val="24"/>
          <w:szCs w:val="24"/>
          <w:lang w:val="tr-TR"/>
        </w:rPr>
      </w:pPr>
      <w:r w:rsidRPr="00902936">
        <w:rPr>
          <w:sz w:val="24"/>
          <w:szCs w:val="24"/>
          <w:lang w:val="tr-TR"/>
        </w:rPr>
        <w:t>Uluslararası Kooperatifler Birliği ICA’nın web sitesinden aktarılan bu haberin aslına ve yukarda sözü edilen BM raporuna erişim için aşağıdaki link tıklanabilir:</w:t>
      </w:r>
    </w:p>
    <w:p w:rsidR="00902936" w:rsidRDefault="00902936" w:rsidP="006D4ABE">
      <w:pPr>
        <w:spacing w:after="0" w:line="240" w:lineRule="auto"/>
        <w:rPr>
          <w:sz w:val="24"/>
          <w:szCs w:val="24"/>
        </w:rPr>
      </w:pPr>
    </w:p>
    <w:p w:rsidR="00902936" w:rsidRDefault="00902936" w:rsidP="00902936">
      <w:pPr>
        <w:spacing w:after="0" w:line="240" w:lineRule="auto"/>
        <w:jc w:val="center"/>
        <w:rPr>
          <w:sz w:val="24"/>
          <w:szCs w:val="24"/>
        </w:rPr>
      </w:pPr>
      <w:hyperlink r:id="rId8" w:history="1">
        <w:r w:rsidRPr="005B6C4B">
          <w:rPr>
            <w:rStyle w:val="Kpr"/>
            <w:sz w:val="24"/>
            <w:szCs w:val="24"/>
          </w:rPr>
          <w:t>https://ica.coop/en/media/news/co-operative-enterprises-are-in-a-unique-position-to-help-to-promote-the-2030-agenda</w:t>
        </w:r>
      </w:hyperlink>
      <w:r>
        <w:rPr>
          <w:sz w:val="24"/>
          <w:szCs w:val="24"/>
        </w:rPr>
        <w:t xml:space="preserve"> </w:t>
      </w:r>
    </w:p>
    <w:p w:rsidR="00902936" w:rsidRDefault="00902936" w:rsidP="006D4ABE">
      <w:pPr>
        <w:spacing w:after="0" w:line="240" w:lineRule="auto"/>
        <w:rPr>
          <w:sz w:val="24"/>
          <w:szCs w:val="24"/>
        </w:rPr>
      </w:pPr>
    </w:p>
    <w:p w:rsidR="006D4ABE" w:rsidRDefault="006D4ABE" w:rsidP="006D4ABE">
      <w:pPr>
        <w:spacing w:after="0" w:line="240" w:lineRule="auto"/>
        <w:rPr>
          <w:sz w:val="24"/>
          <w:szCs w:val="24"/>
        </w:rPr>
      </w:pPr>
    </w:p>
    <w:p w:rsidR="006D4ABE" w:rsidRDefault="006D4ABE" w:rsidP="006D4ABE">
      <w:pPr>
        <w:spacing w:after="0" w:line="240" w:lineRule="auto"/>
        <w:rPr>
          <w:sz w:val="24"/>
          <w:szCs w:val="24"/>
        </w:rPr>
      </w:pPr>
    </w:p>
    <w:p w:rsidR="006D4ABE" w:rsidRDefault="006D4ABE" w:rsidP="006D4ABE">
      <w:pPr>
        <w:spacing w:after="0" w:line="240" w:lineRule="auto"/>
        <w:rPr>
          <w:sz w:val="24"/>
          <w:szCs w:val="24"/>
        </w:rPr>
      </w:pPr>
    </w:p>
    <w:p w:rsidR="006D4ABE" w:rsidRPr="006D4ABE" w:rsidRDefault="006D4ABE" w:rsidP="006D4ABE">
      <w:pPr>
        <w:spacing w:after="0" w:line="240" w:lineRule="auto"/>
        <w:rPr>
          <w:sz w:val="24"/>
          <w:szCs w:val="24"/>
        </w:rPr>
      </w:pPr>
    </w:p>
    <w:sectPr w:rsidR="006D4ABE" w:rsidRPr="006D4ABE"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A6" w:rsidRDefault="00E128A6" w:rsidP="009408B9">
      <w:pPr>
        <w:spacing w:after="0" w:line="240" w:lineRule="auto"/>
      </w:pPr>
      <w:r>
        <w:separator/>
      </w:r>
    </w:p>
  </w:endnote>
  <w:endnote w:type="continuationSeparator" w:id="0">
    <w:p w:rsidR="00E128A6" w:rsidRDefault="00E128A6"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A6" w:rsidRDefault="00E128A6" w:rsidP="009408B9">
      <w:pPr>
        <w:spacing w:after="0" w:line="240" w:lineRule="auto"/>
      </w:pPr>
      <w:r>
        <w:separator/>
      </w:r>
    </w:p>
  </w:footnote>
  <w:footnote w:type="continuationSeparator" w:id="0">
    <w:p w:rsidR="00E128A6" w:rsidRDefault="00E128A6"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0282D3B"/>
    <w:multiLevelType w:val="hybridMultilevel"/>
    <w:tmpl w:val="E208D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89A2C65"/>
    <w:multiLevelType w:val="hybridMultilevel"/>
    <w:tmpl w:val="9C4CB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9"/>
  </w:num>
  <w:num w:numId="4">
    <w:abstractNumId w:val="4"/>
  </w:num>
  <w:num w:numId="5">
    <w:abstractNumId w:val="0"/>
  </w:num>
  <w:num w:numId="6">
    <w:abstractNumId w:val="6"/>
  </w:num>
  <w:num w:numId="7">
    <w:abstractNumId w:val="5"/>
  </w:num>
  <w:num w:numId="8">
    <w:abstractNumId w:val="3"/>
  </w:num>
  <w:num w:numId="9">
    <w:abstractNumId w:val="2"/>
  </w:num>
  <w:num w:numId="10">
    <w:abstractNumId w:val="12"/>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1"/>
    <w:rsid w:val="00006574"/>
    <w:rsid w:val="000816E8"/>
    <w:rsid w:val="000C1DE2"/>
    <w:rsid w:val="000C3E68"/>
    <w:rsid w:val="00104338"/>
    <w:rsid w:val="001105CD"/>
    <w:rsid w:val="0013150A"/>
    <w:rsid w:val="0017201A"/>
    <w:rsid w:val="00174487"/>
    <w:rsid w:val="0018120E"/>
    <w:rsid w:val="001F2AEE"/>
    <w:rsid w:val="00232C80"/>
    <w:rsid w:val="002475D5"/>
    <w:rsid w:val="002610F1"/>
    <w:rsid w:val="00271CDA"/>
    <w:rsid w:val="00294312"/>
    <w:rsid w:val="00295340"/>
    <w:rsid w:val="002A0776"/>
    <w:rsid w:val="002E0733"/>
    <w:rsid w:val="002E2826"/>
    <w:rsid w:val="00310995"/>
    <w:rsid w:val="00326998"/>
    <w:rsid w:val="00334DC4"/>
    <w:rsid w:val="003759D8"/>
    <w:rsid w:val="00383484"/>
    <w:rsid w:val="003F3627"/>
    <w:rsid w:val="003F66DA"/>
    <w:rsid w:val="004017E8"/>
    <w:rsid w:val="00425231"/>
    <w:rsid w:val="004A71A9"/>
    <w:rsid w:val="004C112A"/>
    <w:rsid w:val="00504301"/>
    <w:rsid w:val="00522CB1"/>
    <w:rsid w:val="00524CC4"/>
    <w:rsid w:val="00525B64"/>
    <w:rsid w:val="00526F16"/>
    <w:rsid w:val="00546171"/>
    <w:rsid w:val="0055374D"/>
    <w:rsid w:val="005B6B65"/>
    <w:rsid w:val="005E5C45"/>
    <w:rsid w:val="005F1289"/>
    <w:rsid w:val="00616255"/>
    <w:rsid w:val="006D4ABE"/>
    <w:rsid w:val="006F5EFE"/>
    <w:rsid w:val="00704D4F"/>
    <w:rsid w:val="00742412"/>
    <w:rsid w:val="007870CB"/>
    <w:rsid w:val="007A6DC7"/>
    <w:rsid w:val="007C0E39"/>
    <w:rsid w:val="008009D0"/>
    <w:rsid w:val="0082777E"/>
    <w:rsid w:val="00852BBB"/>
    <w:rsid w:val="00880EA7"/>
    <w:rsid w:val="00881E77"/>
    <w:rsid w:val="008A2FC6"/>
    <w:rsid w:val="008A546B"/>
    <w:rsid w:val="008E55A7"/>
    <w:rsid w:val="00902936"/>
    <w:rsid w:val="009272DC"/>
    <w:rsid w:val="009279C1"/>
    <w:rsid w:val="009408B9"/>
    <w:rsid w:val="00971D1D"/>
    <w:rsid w:val="00982629"/>
    <w:rsid w:val="009D6077"/>
    <w:rsid w:val="009E2281"/>
    <w:rsid w:val="00A00BEA"/>
    <w:rsid w:val="00A072FE"/>
    <w:rsid w:val="00A65FB5"/>
    <w:rsid w:val="00A738D6"/>
    <w:rsid w:val="00AC316C"/>
    <w:rsid w:val="00B20256"/>
    <w:rsid w:val="00B359D8"/>
    <w:rsid w:val="00B72983"/>
    <w:rsid w:val="00B839C2"/>
    <w:rsid w:val="00BC6449"/>
    <w:rsid w:val="00BE3983"/>
    <w:rsid w:val="00C32692"/>
    <w:rsid w:val="00C87F02"/>
    <w:rsid w:val="00C954E5"/>
    <w:rsid w:val="00CE638D"/>
    <w:rsid w:val="00D029DF"/>
    <w:rsid w:val="00D8232A"/>
    <w:rsid w:val="00DA0DF0"/>
    <w:rsid w:val="00DC508C"/>
    <w:rsid w:val="00DC7DBB"/>
    <w:rsid w:val="00DD620F"/>
    <w:rsid w:val="00DF0127"/>
    <w:rsid w:val="00E128A6"/>
    <w:rsid w:val="00E43171"/>
    <w:rsid w:val="00E6741D"/>
    <w:rsid w:val="00EB2289"/>
    <w:rsid w:val="00ED5498"/>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FC223-DC08-4C36-A73B-6C75ED89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lign-center">
    <w:name w:val="text-align-center"/>
    <w:basedOn w:val="Normal"/>
    <w:rsid w:val="009272DC"/>
    <w:pPr>
      <w:spacing w:before="100" w:beforeAutospacing="1" w:after="100" w:afterAutospacing="1" w:line="240" w:lineRule="auto"/>
      <w:jc w:val="left"/>
    </w:pPr>
    <w:rPr>
      <w:rFonts w:ascii="Times New Roman" w:eastAsia="Times New Roman" w:hAnsi="Times New Roman" w:cs="Times New Roman"/>
      <w:color w:val="auto"/>
      <w:sz w:val="24"/>
      <w:szCs w:val="24"/>
      <w:lang w:val="tr-TR" w:eastAsia="tr-TR"/>
    </w:rPr>
  </w:style>
  <w:style w:type="paragraph" w:customStyle="1" w:styleId="text-align-justify">
    <w:name w:val="text-align-justify"/>
    <w:basedOn w:val="Normal"/>
    <w:rsid w:val="009272DC"/>
    <w:pPr>
      <w:spacing w:before="100" w:beforeAutospacing="1" w:after="100" w:afterAutospacing="1" w:line="240" w:lineRule="auto"/>
      <w:jc w:val="left"/>
    </w:pPr>
    <w:rPr>
      <w:rFonts w:ascii="Times New Roman" w:eastAsia="Times New Roman" w:hAnsi="Times New Roman" w:cs="Times New Roman"/>
      <w:color w:val="auto"/>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3448">
      <w:bodyDiv w:val="1"/>
      <w:marLeft w:val="0"/>
      <w:marRight w:val="0"/>
      <w:marTop w:val="0"/>
      <w:marBottom w:val="0"/>
      <w:divBdr>
        <w:top w:val="none" w:sz="0" w:space="0" w:color="auto"/>
        <w:left w:val="none" w:sz="0" w:space="0" w:color="auto"/>
        <w:bottom w:val="none" w:sz="0" w:space="0" w:color="auto"/>
        <w:right w:val="none" w:sz="0" w:space="0" w:color="auto"/>
      </w:divBdr>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587347770">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coop/en/media/news/co-operative-enterprises-are-in-a-unique-position-to-help-to-promote-the-2030-agend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Hüseyin Polat</cp:lastModifiedBy>
  <cp:revision>2</cp:revision>
  <cp:lastPrinted>2016-04-04T08:22:00Z</cp:lastPrinted>
  <dcterms:created xsi:type="dcterms:W3CDTF">2017-12-26T13:33:00Z</dcterms:created>
  <dcterms:modified xsi:type="dcterms:W3CDTF">2017-12-26T13:33:00Z</dcterms:modified>
</cp:coreProperties>
</file>