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214" w:rsidRPr="00910214" w:rsidRDefault="00910214" w:rsidP="00910214">
      <w:pPr>
        <w:jc w:val="center"/>
        <w:rPr>
          <w:rFonts w:ascii="Tahoma" w:hAnsi="Tahoma" w:cs="Tahoma"/>
          <w:sz w:val="24"/>
          <w:szCs w:val="24"/>
        </w:rPr>
      </w:pPr>
    </w:p>
    <w:p w:rsidR="00910214" w:rsidRPr="00910214" w:rsidRDefault="00910214" w:rsidP="00910214">
      <w:pPr>
        <w:spacing w:before="56" w:line="240" w:lineRule="atLeast"/>
        <w:jc w:val="center"/>
        <w:rPr>
          <w:rFonts w:ascii="Tahoma" w:hAnsi="Tahoma" w:cs="Tahoma"/>
          <w:b/>
          <w:bCs/>
          <w:color w:val="FF0000"/>
          <w:sz w:val="28"/>
          <w:szCs w:val="28"/>
        </w:rPr>
      </w:pPr>
      <w:r w:rsidRPr="00910214">
        <w:rPr>
          <w:rFonts w:ascii="Tahoma" w:hAnsi="Tahoma" w:cs="Tahoma"/>
          <w:b/>
          <w:bCs/>
          <w:color w:val="FF0000"/>
          <w:sz w:val="28"/>
          <w:szCs w:val="28"/>
        </w:rPr>
        <w:t>KURUMLAR VERGİSİ GENEL TEBLİĞİNDE</w:t>
      </w:r>
    </w:p>
    <w:p w:rsidR="00910214" w:rsidRPr="00910214" w:rsidRDefault="00910214" w:rsidP="00910214">
      <w:pPr>
        <w:jc w:val="center"/>
        <w:rPr>
          <w:rFonts w:ascii="Tahoma" w:hAnsi="Tahoma" w:cs="Tahoma"/>
          <w:b/>
          <w:bCs/>
          <w:color w:val="FF0000"/>
          <w:sz w:val="28"/>
          <w:szCs w:val="28"/>
        </w:rPr>
      </w:pPr>
      <w:r w:rsidRPr="00910214">
        <w:rPr>
          <w:rFonts w:ascii="Tahoma" w:hAnsi="Tahoma" w:cs="Tahoma"/>
          <w:b/>
          <w:bCs/>
          <w:color w:val="FF0000"/>
          <w:sz w:val="28"/>
          <w:szCs w:val="28"/>
        </w:rPr>
        <w:t>DEĞİŞİKLİK YAPILMASINA DAİR TEBLİĞ</w:t>
      </w:r>
    </w:p>
    <w:p w:rsidR="00910214" w:rsidRDefault="00910214" w:rsidP="00910214">
      <w:pPr>
        <w:jc w:val="center"/>
        <w:rPr>
          <w:rFonts w:ascii="Tahoma" w:hAnsi="Tahoma" w:cs="Tahoma"/>
          <w:b/>
          <w:bCs/>
          <w:color w:val="FF0000"/>
          <w:sz w:val="28"/>
          <w:szCs w:val="28"/>
        </w:rPr>
      </w:pPr>
      <w:r w:rsidRPr="00910214">
        <w:rPr>
          <w:rFonts w:ascii="Tahoma" w:hAnsi="Tahoma" w:cs="Tahoma"/>
          <w:b/>
          <w:bCs/>
          <w:color w:val="FF0000"/>
          <w:sz w:val="28"/>
          <w:szCs w:val="28"/>
        </w:rPr>
        <w:t>YAYINLANDI</w:t>
      </w:r>
    </w:p>
    <w:p w:rsidR="00910214" w:rsidRDefault="00910214" w:rsidP="00910214">
      <w:pPr>
        <w:jc w:val="center"/>
        <w:rPr>
          <w:rFonts w:ascii="Tahoma" w:hAnsi="Tahoma" w:cs="Tahoma"/>
          <w:b/>
          <w:bCs/>
          <w:color w:val="FF0000"/>
          <w:sz w:val="28"/>
          <w:szCs w:val="28"/>
        </w:rPr>
      </w:pPr>
    </w:p>
    <w:p w:rsidR="00910214" w:rsidRPr="00AA5453" w:rsidRDefault="00910214" w:rsidP="00910214">
      <w:pPr>
        <w:jc w:val="center"/>
        <w:rPr>
          <w:rFonts w:ascii="Tahoma" w:hAnsi="Tahoma" w:cs="Tahoma"/>
          <w:sz w:val="24"/>
          <w:szCs w:val="24"/>
        </w:rPr>
      </w:pPr>
    </w:p>
    <w:p w:rsidR="00AA5453" w:rsidRPr="00AA5453" w:rsidRDefault="00910214" w:rsidP="00AA5453">
      <w:pPr>
        <w:rPr>
          <w:rFonts w:ascii="Tahoma" w:hAnsi="Tahoma" w:cs="Tahoma"/>
          <w:sz w:val="24"/>
          <w:szCs w:val="24"/>
        </w:rPr>
      </w:pPr>
      <w:r w:rsidRPr="00AA5453">
        <w:rPr>
          <w:rFonts w:ascii="Tahoma" w:hAnsi="Tahoma" w:cs="Tahoma"/>
          <w:sz w:val="24"/>
          <w:szCs w:val="24"/>
        </w:rPr>
        <w:t xml:space="preserve">Kooperatiflerimiz ortak dışı işlemler için artık ayrı bir iktisadi işletme kurmayacaklar. </w:t>
      </w:r>
      <w:r w:rsidR="00AA5453" w:rsidRPr="00AA5453">
        <w:rPr>
          <w:rFonts w:ascii="Tahoma" w:hAnsi="Tahoma" w:cs="Tahoma"/>
          <w:sz w:val="24"/>
          <w:szCs w:val="24"/>
        </w:rPr>
        <w:t xml:space="preserve">Konuya ilişkin tebliğ 15 Ocak 2019 tarihli Resmi Gazetede yayınlanmıştır. Söz konusu tebliğin ilgili maddesi aşağıdaki gibidir. </w:t>
      </w:r>
    </w:p>
    <w:p w:rsidR="00910214" w:rsidRDefault="00910214">
      <w:pPr>
        <w:rPr>
          <w:rFonts w:ascii="Tahoma" w:hAnsi="Tahoma" w:cs="Tahoma"/>
          <w:sz w:val="24"/>
          <w:szCs w:val="24"/>
        </w:rPr>
      </w:pPr>
      <w:bookmarkStart w:id="0" w:name="_GoBack"/>
      <w:bookmarkEnd w:id="0"/>
    </w:p>
    <w:p w:rsidR="00910214" w:rsidRPr="00910214" w:rsidRDefault="00910214">
      <w:pPr>
        <w:rPr>
          <w:rFonts w:ascii="Tahoma" w:hAnsi="Tahoma" w:cs="Tahoma"/>
          <w:sz w:val="24"/>
          <w:szCs w:val="24"/>
        </w:rPr>
      </w:pPr>
    </w:p>
    <w:p w:rsidR="00910214" w:rsidRPr="00910214" w:rsidRDefault="00910214" w:rsidP="00910214">
      <w:pPr>
        <w:spacing w:line="240" w:lineRule="atLeast"/>
        <w:ind w:firstLine="566"/>
        <w:jc w:val="both"/>
        <w:rPr>
          <w:rFonts w:ascii="Tahoma" w:hAnsi="Tahoma" w:cs="Tahoma"/>
          <w:sz w:val="24"/>
          <w:szCs w:val="24"/>
        </w:rPr>
      </w:pPr>
      <w:r w:rsidRPr="00910214">
        <w:rPr>
          <w:rFonts w:ascii="Tahoma" w:hAnsi="Tahoma" w:cs="Tahoma"/>
          <w:b/>
          <w:bCs/>
          <w:sz w:val="24"/>
          <w:szCs w:val="24"/>
        </w:rPr>
        <w:t>MADDE 1 –</w:t>
      </w:r>
      <w:r w:rsidRPr="00910214">
        <w:rPr>
          <w:rFonts w:ascii="Tahoma" w:hAnsi="Tahoma" w:cs="Tahoma"/>
          <w:sz w:val="24"/>
          <w:szCs w:val="24"/>
        </w:rPr>
        <w:t> </w:t>
      </w:r>
      <w:proofErr w:type="gramStart"/>
      <w:r w:rsidRPr="00910214">
        <w:rPr>
          <w:rFonts w:ascii="Tahoma" w:hAnsi="Tahoma" w:cs="Tahoma"/>
          <w:sz w:val="24"/>
          <w:szCs w:val="24"/>
        </w:rPr>
        <w:t>3/4/2007</w:t>
      </w:r>
      <w:proofErr w:type="gramEnd"/>
      <w:r w:rsidRPr="00910214">
        <w:rPr>
          <w:rFonts w:ascii="Tahoma" w:hAnsi="Tahoma" w:cs="Tahoma"/>
          <w:sz w:val="24"/>
          <w:szCs w:val="24"/>
        </w:rPr>
        <w:t xml:space="preserve"> tarihli ve 26482 sayılı Resmî </w:t>
      </w:r>
      <w:proofErr w:type="spellStart"/>
      <w:r w:rsidRPr="00910214">
        <w:rPr>
          <w:rFonts w:ascii="Tahoma" w:hAnsi="Tahoma" w:cs="Tahoma"/>
          <w:sz w:val="24"/>
          <w:szCs w:val="24"/>
        </w:rPr>
        <w:t>Gazete’de</w:t>
      </w:r>
      <w:proofErr w:type="spellEnd"/>
      <w:r w:rsidRPr="00910214">
        <w:rPr>
          <w:rFonts w:ascii="Tahoma" w:hAnsi="Tahoma" w:cs="Tahoma"/>
          <w:sz w:val="24"/>
          <w:szCs w:val="24"/>
        </w:rPr>
        <w:t xml:space="preserve"> yayımlanan Kurumlar Vergisi Genel Tebliği (Seri No: 1)’</w:t>
      </w:r>
      <w:proofErr w:type="spellStart"/>
      <w:r w:rsidRPr="00910214">
        <w:rPr>
          <w:rFonts w:ascii="Tahoma" w:hAnsi="Tahoma" w:cs="Tahoma"/>
          <w:sz w:val="24"/>
          <w:szCs w:val="24"/>
        </w:rPr>
        <w:t>nin</w:t>
      </w:r>
      <w:proofErr w:type="spellEnd"/>
      <w:r w:rsidRPr="00910214">
        <w:rPr>
          <w:rFonts w:ascii="Tahoma" w:hAnsi="Tahoma" w:cs="Tahoma"/>
          <w:sz w:val="24"/>
          <w:szCs w:val="24"/>
        </w:rPr>
        <w:t xml:space="preserve"> “</w:t>
      </w:r>
      <w:r w:rsidRPr="00910214">
        <w:rPr>
          <w:rFonts w:ascii="Tahoma" w:hAnsi="Tahoma" w:cs="Tahoma"/>
          <w:b/>
          <w:bCs/>
          <w:sz w:val="24"/>
          <w:szCs w:val="24"/>
        </w:rPr>
        <w:t>4.13.3. Kurumlar vergisinden muaf olan kooperatiflerde ortak dışı işlemlerin vergilendirilmesi</w:t>
      </w:r>
      <w:r w:rsidRPr="00910214">
        <w:rPr>
          <w:rFonts w:ascii="Tahoma" w:hAnsi="Tahoma" w:cs="Tahoma"/>
          <w:sz w:val="24"/>
          <w:szCs w:val="24"/>
        </w:rPr>
        <w:t>” başlıklı bölümünün beşinci paragrafı aşağıdaki şekilde değiştirilmiştir.</w:t>
      </w:r>
    </w:p>
    <w:p w:rsidR="00910214" w:rsidRPr="00910214" w:rsidRDefault="00910214" w:rsidP="00910214">
      <w:pPr>
        <w:spacing w:line="240" w:lineRule="atLeast"/>
        <w:ind w:firstLine="566"/>
        <w:jc w:val="both"/>
        <w:rPr>
          <w:rFonts w:ascii="Tahoma" w:hAnsi="Tahoma" w:cs="Tahoma"/>
          <w:sz w:val="24"/>
          <w:szCs w:val="24"/>
        </w:rPr>
      </w:pPr>
      <w:proofErr w:type="gramStart"/>
      <w:r w:rsidRPr="00910214">
        <w:rPr>
          <w:rFonts w:ascii="Tahoma" w:hAnsi="Tahoma" w:cs="Tahoma"/>
          <w:sz w:val="24"/>
          <w:szCs w:val="24"/>
        </w:rPr>
        <w:t>“Kurumlar vergisinden muaf olan kooperatiflerce, ortak dışı işlemlerden doğan kazancın ve kurumlar vergisi matrahının tespiti açısından ortak dışı işlem kapsamında bulunan ve bulunmayan hasılat, maliyet ve gider unsurlarının ayrı ayrı izlenmesi, ortak dışı işlemlere ait hasılat, maliyet ve gider unsurlarının diğer işlemlerle ilişkilendirilmemesi ve kooperatif tarafından tutulan defterlere, bu ayrımı sağlayacak şekilde kaydedilmesi gerekmektedir.”</w:t>
      </w:r>
      <w:proofErr w:type="gramEnd"/>
    </w:p>
    <w:p w:rsidR="00910214" w:rsidRPr="00910214" w:rsidRDefault="00910214">
      <w:pPr>
        <w:rPr>
          <w:rFonts w:ascii="Tahoma" w:hAnsi="Tahoma" w:cs="Tahoma"/>
          <w:sz w:val="24"/>
          <w:szCs w:val="24"/>
        </w:rPr>
      </w:pPr>
    </w:p>
    <w:p w:rsidR="00910214" w:rsidRPr="00910214" w:rsidRDefault="00910214">
      <w:pPr>
        <w:rPr>
          <w:rFonts w:ascii="Tahoma" w:hAnsi="Tahoma" w:cs="Tahoma"/>
          <w:sz w:val="24"/>
          <w:szCs w:val="24"/>
        </w:rPr>
      </w:pPr>
    </w:p>
    <w:p w:rsidR="00910214" w:rsidRDefault="00910214"/>
    <w:sectPr w:rsidR="00910214">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DED"/>
    <w:rsid w:val="00246DED"/>
    <w:rsid w:val="00910214"/>
    <w:rsid w:val="00AA5453"/>
    <w:rsid w:val="00E96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910214"/>
    <w:pPr>
      <w:spacing w:after="0" w:line="240" w:lineRule="auto"/>
    </w:pPr>
    <w:rPr>
      <w:rFonts w:ascii="Times New Roman" w:eastAsia="Times New Roman" w:hAnsi="Times New Roman" w:cs="Times New Roman"/>
      <w:b/>
      <w:bCs/>
      <w:color w:val="000000"/>
      <w:sz w:val="24"/>
      <w:szCs w:val="24"/>
      <w:lang w:eastAsia="tr-TR"/>
    </w:rPr>
  </w:style>
  <w:style w:type="character" w:customStyle="1" w:styleId="GvdeMetniChar">
    <w:name w:val="Gövde Metni Char"/>
    <w:basedOn w:val="VarsaylanParagrafYazTipi"/>
    <w:link w:val="GvdeMetni"/>
    <w:rsid w:val="00910214"/>
    <w:rPr>
      <w:rFonts w:ascii="Times New Roman" w:eastAsia="Times New Roman" w:hAnsi="Times New Roman" w:cs="Times New Roman"/>
      <w:b/>
      <w:bCs/>
      <w:color w:val="000000"/>
      <w:sz w:val="24"/>
      <w:szCs w:val="24"/>
      <w:lang w:val="tr-TR"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910214"/>
    <w:pPr>
      <w:spacing w:after="0" w:line="240" w:lineRule="auto"/>
    </w:pPr>
    <w:rPr>
      <w:rFonts w:ascii="Times New Roman" w:eastAsia="Times New Roman" w:hAnsi="Times New Roman" w:cs="Times New Roman"/>
      <w:b/>
      <w:bCs/>
      <w:color w:val="000000"/>
      <w:sz w:val="24"/>
      <w:szCs w:val="24"/>
      <w:lang w:eastAsia="tr-TR"/>
    </w:rPr>
  </w:style>
  <w:style w:type="character" w:customStyle="1" w:styleId="GvdeMetniChar">
    <w:name w:val="Gövde Metni Char"/>
    <w:basedOn w:val="VarsaylanParagrafYazTipi"/>
    <w:link w:val="GvdeMetni"/>
    <w:rsid w:val="00910214"/>
    <w:rPr>
      <w:rFonts w:ascii="Times New Roman" w:eastAsia="Times New Roman" w:hAnsi="Times New Roman" w:cs="Times New Roman"/>
      <w:b/>
      <w:bCs/>
      <w:color w:val="000000"/>
      <w:sz w:val="24"/>
      <w:szCs w:val="24"/>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600971">
      <w:bodyDiv w:val="1"/>
      <w:marLeft w:val="0"/>
      <w:marRight w:val="0"/>
      <w:marTop w:val="0"/>
      <w:marBottom w:val="0"/>
      <w:divBdr>
        <w:top w:val="none" w:sz="0" w:space="0" w:color="auto"/>
        <w:left w:val="none" w:sz="0" w:space="0" w:color="auto"/>
        <w:bottom w:val="none" w:sz="0" w:space="0" w:color="auto"/>
        <w:right w:val="none" w:sz="0" w:space="0" w:color="auto"/>
      </w:divBdr>
    </w:div>
    <w:div w:id="684283339">
      <w:bodyDiv w:val="1"/>
      <w:marLeft w:val="0"/>
      <w:marRight w:val="0"/>
      <w:marTop w:val="0"/>
      <w:marBottom w:val="0"/>
      <w:divBdr>
        <w:top w:val="none" w:sz="0" w:space="0" w:color="auto"/>
        <w:left w:val="none" w:sz="0" w:space="0" w:color="auto"/>
        <w:bottom w:val="none" w:sz="0" w:space="0" w:color="auto"/>
        <w:right w:val="none" w:sz="0" w:space="0" w:color="auto"/>
      </w:divBdr>
    </w:div>
    <w:div w:id="1891114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156</Words>
  <Characters>890</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 (user)</dc:creator>
  <cp:lastModifiedBy>USER-PC (user)</cp:lastModifiedBy>
  <cp:revision>3</cp:revision>
  <dcterms:created xsi:type="dcterms:W3CDTF">2019-02-18T08:31:00Z</dcterms:created>
  <dcterms:modified xsi:type="dcterms:W3CDTF">2019-02-18T10:01:00Z</dcterms:modified>
</cp:coreProperties>
</file>